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文件编号：QP-009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监视和测量设备控制程序</w:t>
      </w:r>
    </w:p>
    <w:p/>
    <w:p>
      <w:pPr>
        <w:pStyle w:val="Heading1"/>
      </w:pPr>
      <w:r>
        <w:t>1. 目的</w:t>
      </w:r>
    </w:p>
    <w:p>
      <w:r>
        <w:t>为对监视和测量设备进行控制，确保测量结果准确有效，为产品符合要求提供证据，特制定本程序。</w:t>
      </w:r>
    </w:p>
    <w:p>
      <w:pPr>
        <w:pStyle w:val="Heading1"/>
      </w:pPr>
      <w:r>
        <w:t>2. 范围</w:t>
      </w:r>
    </w:p>
    <w:p>
      <w:r>
        <w:t>本程序适用于公司内所有用于产品质量监视和测量的设备控制。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校准</w:t>
            </w:r>
          </w:p>
        </w:tc>
        <w:tc>
          <w:tcPr>
            <w:tcW w:type="dxa" w:w="4153"/>
          </w:tcPr>
          <w:p>
            <w:r>
              <w:t>在规定条件下确定测量仪器示值与实际值的关系</w:t>
            </w:r>
          </w:p>
        </w:tc>
      </w:tr>
      <w:tr>
        <w:tc>
          <w:tcPr>
            <w:tcW w:type="dxa" w:w="4153"/>
          </w:tcPr>
          <w:p>
            <w:r>
              <w:t>检定</w:t>
            </w:r>
          </w:p>
        </w:tc>
        <w:tc>
          <w:tcPr>
            <w:tcW w:type="dxa" w:w="4153"/>
          </w:tcPr>
          <w:p>
            <w:r>
              <w:t>查明和确认测量仪器是否符合法定要求的程序</w:t>
            </w:r>
          </w:p>
        </w:tc>
      </w:tr>
      <w:tr>
        <w:tc>
          <w:tcPr>
            <w:tcW w:type="dxa" w:w="4153"/>
          </w:tcPr>
          <w:p>
            <w:r>
              <w:t>溯源</w:t>
            </w:r>
          </w:p>
        </w:tc>
        <w:tc>
          <w:tcPr>
            <w:tcW w:type="dxa" w:w="4153"/>
          </w:tcPr>
          <w:p>
            <w:r>
              <w:t>通过连续的比较链使测量结果与国家或国际标准联系起来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质量部</w:t>
      </w:r>
    </w:p>
    <w:p>
      <w:pPr>
        <w:pStyle w:val="ListBullet"/>
      </w:pPr>
      <w:r>
        <w:t>归口管理监视和测量设备</w:t>
      </w:r>
    </w:p>
    <w:p>
      <w:pPr>
        <w:pStyle w:val="ListBullet"/>
      </w:pPr>
      <w:r>
        <w:t>建立设备台账，组织校准/检定</w:t>
      </w:r>
    </w:p>
    <w:p>
      <w:pPr>
        <w:pStyle w:val="Heading2"/>
      </w:pPr>
      <w:r>
        <w:t>4.2 使用部门</w:t>
      </w:r>
    </w:p>
    <w:p>
      <w:pPr>
        <w:pStyle w:val="ListBullet"/>
      </w:pPr>
      <w:r>
        <w:t>负责设备的日常使用和保管</w:t>
      </w:r>
    </w:p>
    <w:p>
      <w:pPr>
        <w:pStyle w:val="ListBullet"/>
      </w:pPr>
      <w:r>
        <w:t>进行日常点检和维护</w:t>
      </w:r>
    </w:p>
    <w:p>
      <w:pPr>
        <w:pStyle w:val="Heading2"/>
      </w:pPr>
      <w:r>
        <w:t>4.3 采购部</w:t>
      </w:r>
    </w:p>
    <w:p>
      <w:pPr>
        <w:pStyle w:val="ListBullet"/>
      </w:pPr>
      <w:r>
        <w:t>负责设备采购和联系外部校准机构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设备配置</w:t>
      </w:r>
    </w:p>
    <w:p>
      <w:pPr>
        <w:pStyle w:val="ListBullet"/>
      </w:pPr>
      <w:r>
        <w:t>使用部门提出需求，明确测量范围、精度</w:t>
      </w:r>
    </w:p>
    <w:p>
      <w:pPr>
        <w:pStyle w:val="ListBullet"/>
      </w:pPr>
      <w:r>
        <w:t>采购部按技术要求采购</w:t>
      </w:r>
    </w:p>
    <w:p>
      <w:pPr>
        <w:pStyle w:val="ListBullet"/>
      </w:pPr>
      <w:r>
        <w:t>质量部验收，确认符合要求后入库</w:t>
      </w:r>
    </w:p>
    <w:p>
      <w:pPr>
        <w:pStyle w:val="Heading2"/>
      </w:pPr>
      <w:r>
        <w:t>5.2 设备台账</w:t>
      </w:r>
    </w:p>
    <w:p>
      <w:pPr>
        <w:pStyle w:val="ListBullet"/>
      </w:pPr>
      <w:r>
        <w:t>质量部建立《监视和测量设备台账》（FM-040）</w:t>
      </w:r>
    </w:p>
    <w:p>
      <w:pPr>
        <w:pStyle w:val="ListBullet"/>
      </w:pPr>
      <w:r>
        <w:t>台账内容：名称、编号、型号、精度、位置、校准周期</w:t>
      </w:r>
    </w:p>
    <w:p>
      <w:pPr>
        <w:pStyle w:val="Heading2"/>
      </w:pPr>
      <w:r>
        <w:t>5.3 校准/检定</w:t>
      </w:r>
    </w:p>
    <w:p>
      <w:pPr>
        <w:pStyle w:val="ListBullet"/>
      </w:pPr>
      <w:r>
        <w:t>质量部编制年度校准计划</w:t>
      </w:r>
    </w:p>
    <w:p>
      <w:pPr>
        <w:pStyle w:val="ListBullet"/>
      </w:pPr>
      <w:r>
        <w:t>送有资质的机构校准/检定</w:t>
      </w:r>
    </w:p>
    <w:p>
      <w:pPr>
        <w:pStyle w:val="ListBullet"/>
      </w:pPr>
      <w:r>
        <w:t>取得校准证书，确认校准结果</w:t>
      </w:r>
    </w:p>
    <w:p>
      <w:pPr>
        <w:pStyle w:val="Heading2"/>
      </w:pPr>
      <w:r>
        <w:t>5.4 校准周期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设备类型</w:t>
            </w:r>
          </w:p>
        </w:tc>
        <w:tc>
          <w:tcPr>
            <w:tcW w:type="dxa" w:w="4153"/>
          </w:tcPr>
          <w:p>
            <w:r>
              <w:t>校准周期</w:t>
            </w:r>
          </w:p>
        </w:tc>
      </w:tr>
      <w:tr>
        <w:tc>
          <w:tcPr>
            <w:tcW w:type="dxa" w:w="4153"/>
          </w:tcPr>
          <w:p>
            <w:r>
              <w:t>长度量具（卡尺、千分尺）</w:t>
            </w:r>
          </w:p>
        </w:tc>
        <w:tc>
          <w:tcPr>
            <w:tcW w:type="dxa" w:w="4153"/>
          </w:tcPr>
          <w:p>
            <w:r>
              <w:t>12 个月</w:t>
            </w:r>
          </w:p>
        </w:tc>
      </w:tr>
      <w:tr>
        <w:tc>
          <w:tcPr>
            <w:tcW w:type="dxa" w:w="4153"/>
          </w:tcPr>
          <w:p>
            <w:r>
              <w:t>压力表</w:t>
            </w:r>
          </w:p>
        </w:tc>
        <w:tc>
          <w:tcPr>
            <w:tcW w:type="dxa" w:w="4153"/>
          </w:tcPr>
          <w:p>
            <w:r>
              <w:t>6 个月</w:t>
            </w:r>
          </w:p>
        </w:tc>
      </w:tr>
      <w:tr>
        <w:tc>
          <w:tcPr>
            <w:tcW w:type="dxa" w:w="4153"/>
          </w:tcPr>
          <w:p>
            <w:r>
              <w:t>电子秤</w:t>
            </w:r>
          </w:p>
        </w:tc>
        <w:tc>
          <w:tcPr>
            <w:tcW w:type="dxa" w:w="4153"/>
          </w:tcPr>
          <w:p>
            <w:r>
              <w:t>12 个月</w:t>
            </w:r>
          </w:p>
        </w:tc>
      </w:tr>
      <w:tr>
        <w:tc>
          <w:tcPr>
            <w:tcW w:type="dxa" w:w="4153"/>
          </w:tcPr>
          <w:p>
            <w:r>
              <w:t>试验设备</w:t>
            </w:r>
          </w:p>
        </w:tc>
        <w:tc>
          <w:tcPr>
            <w:tcW w:type="dxa" w:w="4153"/>
          </w:tcPr>
          <w:p>
            <w:r>
              <w:t>12 个月</w:t>
            </w:r>
          </w:p>
        </w:tc>
      </w:tr>
    </w:tbl>
    <w:p>
      <w:pPr>
        <w:pStyle w:val="Heading2"/>
      </w:pPr>
      <w:r>
        <w:t>5.5 标识管理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标识</w:t>
            </w:r>
          </w:p>
        </w:tc>
        <w:tc>
          <w:tcPr>
            <w:tcW w:type="dxa" w:w="4153"/>
          </w:tcPr>
          <w:p>
            <w:r>
              <w:t>含义</w:t>
            </w:r>
          </w:p>
        </w:tc>
      </w:tr>
      <w:tr>
        <w:tc>
          <w:tcPr>
            <w:tcW w:type="dxa" w:w="4153"/>
          </w:tcPr>
          <w:p>
            <w:r>
              <w:t>合格（绿色）</w:t>
            </w:r>
          </w:p>
        </w:tc>
        <w:tc>
          <w:tcPr>
            <w:tcW w:type="dxa" w:w="4153"/>
          </w:tcPr>
          <w:p>
            <w:r>
              <w:t>校准合格，准用</w:t>
            </w:r>
          </w:p>
        </w:tc>
      </w:tr>
      <w:tr>
        <w:tc>
          <w:tcPr>
            <w:tcW w:type="dxa" w:w="4153"/>
          </w:tcPr>
          <w:p>
            <w:r>
              <w:t>准用（黄色）</w:t>
            </w:r>
          </w:p>
        </w:tc>
        <w:tc>
          <w:tcPr>
            <w:tcW w:type="dxa" w:w="4153"/>
          </w:tcPr>
          <w:p>
            <w:r>
              <w:t>部分功能受限，限定使用</w:t>
            </w:r>
          </w:p>
        </w:tc>
      </w:tr>
      <w:tr>
        <w:tc>
          <w:tcPr>
            <w:tcW w:type="dxa" w:w="4153"/>
          </w:tcPr>
          <w:p>
            <w:r>
              <w:t>停用（红色）</w:t>
            </w:r>
          </w:p>
        </w:tc>
        <w:tc>
          <w:tcPr>
            <w:tcW w:type="dxa" w:w="4153"/>
          </w:tcPr>
          <w:p>
            <w:r>
              <w:t>不合格或超期，禁用</w:t>
            </w:r>
          </w:p>
        </w:tc>
      </w:tr>
      <w:tr>
        <w:tc>
          <w:tcPr>
            <w:tcW w:type="dxa" w:w="4153"/>
          </w:tcPr>
          <w:p>
            <w:r>
              <w:t>封存</w:t>
            </w:r>
          </w:p>
        </w:tc>
        <w:tc>
          <w:tcPr>
            <w:tcW w:type="dxa" w:w="4153"/>
          </w:tcPr>
          <w:p>
            <w:r>
              <w:t>暂时不用，封存保管</w:t>
            </w:r>
          </w:p>
        </w:tc>
      </w:tr>
    </w:tbl>
    <w:p>
      <w:pPr>
        <w:pStyle w:val="Heading2"/>
      </w:pPr>
      <w:r>
        <w:t>5.6 使用管理</w:t>
      </w:r>
    </w:p>
    <w:p>
      <w:pPr>
        <w:pStyle w:val="ListBullet"/>
      </w:pPr>
      <w:r>
        <w:t>使用前检查校准状态</w:t>
      </w:r>
    </w:p>
    <w:p>
      <w:pPr>
        <w:pStyle w:val="ListBullet"/>
      </w:pPr>
      <w:r>
        <w:t>按操作规程使用</w:t>
      </w:r>
    </w:p>
    <w:p>
      <w:pPr>
        <w:pStyle w:val="ListBullet"/>
      </w:pPr>
      <w:r>
        <w:t>使用后清洁保养，存放于合适环境</w:t>
      </w:r>
    </w:p>
    <w:p>
      <w:pPr>
        <w:pStyle w:val="Heading2"/>
      </w:pPr>
      <w:r>
        <w:t>5.7 失准处理</w:t>
      </w:r>
    </w:p>
    <w:p>
      <w:pPr>
        <w:pStyle w:val="ListBullet"/>
      </w:pPr>
      <w:r>
        <w:t>发现设备失准立即停用，贴停用标识</w:t>
      </w:r>
    </w:p>
    <w:p>
      <w:pPr>
        <w:pStyle w:val="ListBullet"/>
      </w:pPr>
      <w:r>
        <w:t>评估先前测量结果的有效性</w:t>
      </w:r>
    </w:p>
    <w:p>
      <w:pPr>
        <w:pStyle w:val="ListBullet"/>
      </w:pPr>
      <w:r>
        <w:t>必要时追溯已检验产品</w:t>
      </w:r>
    </w:p>
    <w:p>
      <w:pPr>
        <w:pStyle w:val="ListBullet"/>
      </w:pPr>
      <w:r>
        <w:t>维修后重新校准，无法维修的报废</w:t>
      </w:r>
    </w:p>
    <w:p>
      <w:pPr>
        <w:pStyle w:val="Heading2"/>
      </w:pPr>
      <w:r>
        <w:t>5.8 记录保存</w:t>
      </w:r>
    </w:p>
    <w:p>
      <w:pPr>
        <w:pStyle w:val="ListBullet"/>
      </w:pPr>
      <w:r>
        <w:t>质量部保存台账、校准证书、校准计划等记录</w:t>
      </w:r>
    </w:p>
    <w:p>
      <w:pPr>
        <w:pStyle w:val="ListBullet"/>
      </w:pPr>
      <w:r>
        <w:t>保存期限：3 年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QP-002</w:t>
            </w:r>
          </w:p>
        </w:tc>
        <w:tc>
          <w:tcPr>
            <w:tcW w:type="dxa" w:w="4153"/>
          </w:tcPr>
          <w:p>
            <w:r>
              <w:t>记录控制程序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FM-040</w:t>
            </w:r>
          </w:p>
        </w:tc>
        <w:tc>
          <w:tcPr>
            <w:tcW w:type="dxa" w:w="2769"/>
          </w:tcPr>
          <w:p>
            <w:r>
              <w:t>监视和测量设备台账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FM-041</w:t>
            </w:r>
          </w:p>
        </w:tc>
        <w:tc>
          <w:tcPr>
            <w:tcW w:type="dxa" w:w="2769"/>
          </w:tcPr>
          <w:p>
            <w:r>
              <w:t>年度校准计划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FM-042</w:t>
            </w:r>
          </w:p>
        </w:tc>
        <w:tc>
          <w:tcPr>
            <w:tcW w:type="dxa" w:w="2769"/>
          </w:tcPr>
          <w:p>
            <w:r>
              <w:t>校准证书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FM-043</w:t>
            </w:r>
          </w:p>
        </w:tc>
        <w:tc>
          <w:tcPr>
            <w:tcW w:type="dxa" w:w="2769"/>
          </w:tcPr>
          <w:p>
            <w:r>
              <w:t>设备点检表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FM-044</w:t>
            </w:r>
          </w:p>
        </w:tc>
        <w:tc>
          <w:tcPr>
            <w:tcW w:type="dxa" w:w="2769"/>
          </w:tcPr>
          <w:p>
            <w:r>
              <w:t>失准处理记录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A：监视和测量设备控制流程图</w:t>
      </w:r>
    </w:p>
    <w:p>
      <w:r>
        <w:t>设备配置 → 验收 → 建账 → 校准 → 标识 → 使用 → 维护 → 周期校准 → 失准处理 → 记录归档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